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75"/>
        <w:gridCol w:w="1656"/>
        <w:gridCol w:w="577"/>
        <w:gridCol w:w="1231"/>
        <w:gridCol w:w="779"/>
        <w:gridCol w:w="2446"/>
        <w:gridCol w:w="620"/>
        <w:gridCol w:w="1413"/>
        <w:gridCol w:w="369"/>
        <w:gridCol w:w="2414"/>
      </w:tblGrid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1. MACROPROCESO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AA619E" w:rsidP="002020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AA61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GESTION ADMINISTRATIVA Y FINANCIERA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1.1.</w:t>
            </w:r>
            <w:r w:rsidRPr="00961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OBJETIVO DEL MACROPROCESO</w:t>
            </w:r>
          </w:p>
        </w:tc>
      </w:tr>
      <w:tr w:rsidR="00D70B10" w:rsidRPr="0096134E" w:rsidTr="00D70B10">
        <w:trPr>
          <w:trHeight w:val="674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70B10" w:rsidRPr="00E53DB9" w:rsidRDefault="00D70B10" w:rsidP="00D70B10">
            <w:pPr>
              <w:spacing w:after="0"/>
              <w:jc w:val="both"/>
              <w:rPr>
                <w:rFonts w:ascii="Arial" w:hAnsi="Arial" w:cs="Arial"/>
              </w:rPr>
            </w:pPr>
            <w:r w:rsidRPr="00E53DB9">
              <w:rPr>
                <w:rFonts w:ascii="Arial" w:hAnsi="Arial" w:cs="Arial"/>
                <w:sz w:val="20"/>
              </w:rPr>
              <w:t xml:space="preserve">Administrar y proveer de manera óptima los recursos físicos, financiero y tecnológicos necesarios para el adecuado desarrollo del cumplimiento de los objetivos institucionales de la E.S.E Hospital San José del Guaviare 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2. NOMBRE DEL PROCESO</w:t>
            </w:r>
          </w:p>
        </w:tc>
      </w:tr>
      <w:tr w:rsidR="0096134E" w:rsidRPr="0096134E" w:rsidTr="008351E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619E" w:rsidRPr="0096134E" w:rsidRDefault="00AA619E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CARTERA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2.1. OBJETIVO DEL PROCESO</w:t>
            </w:r>
          </w:p>
        </w:tc>
      </w:tr>
      <w:tr w:rsidR="0096134E" w:rsidRPr="0096134E" w:rsidTr="00CB1705">
        <w:trPr>
          <w:trHeight w:val="57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AA619E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AA61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Garantizar el adecuado flujo de recursos a la entidad, hace gestión de la recuperación de los dineros invertidos por la entidad en la prestación de servicios y que son facturados a las diferentes EAPB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3. ALCANCE</w:t>
            </w:r>
          </w:p>
        </w:tc>
      </w:tr>
      <w:tr w:rsidR="0096134E" w:rsidRPr="0096134E" w:rsidTr="00CB1705">
        <w:trPr>
          <w:trHeight w:val="30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214" w:rsidRPr="0096134E" w:rsidRDefault="00CB1705" w:rsidP="009072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Inicia:</w:t>
            </w:r>
            <w:r w:rsidRPr="009613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Radicación de Cuentas Medicas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CB1705" w:rsidP="008351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Termina: </w:t>
            </w:r>
            <w:r w:rsidR="00907214" w:rsidRPr="0090721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Difícil Recaudo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4. RESPONSABLE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214" w:rsidRPr="0096134E" w:rsidRDefault="00907214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5. CICLO DEL PROCESO</w:t>
            </w:r>
          </w:p>
        </w:tc>
      </w:tr>
      <w:tr w:rsidR="0096134E" w:rsidRPr="0096134E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5.1 PLANEAR</w:t>
            </w:r>
          </w:p>
        </w:tc>
      </w:tr>
      <w:tr w:rsidR="0096134E" w:rsidRPr="0096134E" w:rsidTr="00D70B10">
        <w:trPr>
          <w:trHeight w:val="3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Clientes o Usuarios</w:t>
            </w:r>
          </w:p>
        </w:tc>
      </w:tr>
      <w:tr w:rsidR="0096134E" w:rsidRPr="0096134E" w:rsidTr="00E144B0">
        <w:trPr>
          <w:trHeight w:val="49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B1705" w:rsidRPr="0096134E" w:rsidRDefault="00907214" w:rsidP="00D7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214" w:rsidRPr="00907214" w:rsidRDefault="00907214" w:rsidP="00907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Equipos e insumos de oficina.</w:t>
            </w:r>
          </w:p>
          <w:p w:rsidR="00CB1705" w:rsidRPr="0096134E" w:rsidRDefault="00907214" w:rsidP="00907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Plan operativo Anual, Plan de acción vigencia anterior.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Elaborar  plan de acción anual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Plan de acción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D70B10" w:rsidP="00D7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Cartera, </w:t>
            </w:r>
            <w:r w:rsidR="00907214"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Entes de control, planeación, control interno de gestión y demás procesos que lo requieran.</w:t>
            </w:r>
          </w:p>
        </w:tc>
      </w:tr>
      <w:tr w:rsidR="0096134E" w:rsidRPr="0096134E" w:rsidTr="00E144B0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B1705" w:rsidRPr="0096134E" w:rsidRDefault="00CB1705" w:rsidP="00D7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D70B10">
        <w:trPr>
          <w:trHeight w:val="54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D7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214" w:rsidRPr="0096134E" w:rsidRDefault="00907214" w:rsidP="00D7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Equipos e insumos de oficina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informe de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facturación, radicación, recaudo y glosas, lineamientos institucionales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907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 xml:space="preserve">Establecer estrategias que permitan el aumento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d</w:t>
            </w:r>
            <w:r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el recaudo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 xml:space="preserve">Estrategias </w:t>
            </w:r>
            <w:r w:rsidR="00F7349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definidas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D70B10" w:rsidP="00D7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</w:t>
            </w:r>
            <w:r w:rsidR="00907214"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artera</w:t>
            </w:r>
            <w:r w:rsid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, gerencia</w:t>
            </w:r>
            <w:r w:rsidR="00907214"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y auditoria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="00907214"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Entidades Administradoras </w:t>
            </w:r>
            <w:r w:rsidR="00907214" w:rsidRPr="009072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de Planes de Beneficios.</w:t>
            </w:r>
          </w:p>
        </w:tc>
      </w:tr>
      <w:tr w:rsidR="0096134E" w:rsidRPr="0096134E" w:rsidTr="00E144B0">
        <w:trPr>
          <w:trHeight w:val="97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46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8501E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8501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Seguimiento de indicadores de los procesos, equipo de cómputo, software, insumos de oficina, impresora, internet.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F92C98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Identificar</w:t>
            </w:r>
            <w:r w:rsidR="008501ED" w:rsidRPr="008501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falencias en los procedimientos  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8501E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8501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Capacitación, planes de mejoramiento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F73491" w:rsidP="00F9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</w:t>
            </w:r>
            <w:r w:rsidR="008501ED" w:rsidRPr="008501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artera </w:t>
            </w:r>
          </w:p>
        </w:tc>
      </w:tr>
      <w:tr w:rsidR="0096134E" w:rsidRPr="0096134E" w:rsidTr="00E144B0">
        <w:trPr>
          <w:trHeight w:val="42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60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Default="00907214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4</w:t>
            </w:r>
          </w:p>
          <w:p w:rsidR="00907214" w:rsidRPr="0096134E" w:rsidRDefault="00907214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07214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2C98" w:rsidRPr="00F92C98" w:rsidRDefault="00F92C98" w:rsidP="00F9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F92C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Equipos e insumos de oficina, internet.</w:t>
            </w:r>
          </w:p>
          <w:p w:rsidR="00CB1705" w:rsidRPr="0096134E" w:rsidRDefault="00F92C98" w:rsidP="00F9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F92C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Documentos y registros del proceso.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F92C98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F92C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Elaborar y/ o actualizar procesos, procedimientos, manuales y demás documentos que requiera el proceso.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F92C98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F92C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Procesos, procedimientos, manuales y demás documentos que requiera el proceso elaborados y/ o actualizados.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2C98" w:rsidRPr="0096134E" w:rsidRDefault="00F73491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</w:t>
            </w:r>
            <w:r w:rsidR="00F92C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artera</w:t>
            </w:r>
          </w:p>
        </w:tc>
      </w:tr>
      <w:tr w:rsidR="0096134E" w:rsidRPr="0096134E" w:rsidTr="00E144B0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3F422B">
        <w:trPr>
          <w:trHeight w:val="21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5.2 HACER</w:t>
            </w:r>
          </w:p>
        </w:tc>
      </w:tr>
      <w:tr w:rsidR="0096134E" w:rsidRPr="0096134E" w:rsidTr="00F73491">
        <w:trPr>
          <w:trHeight w:val="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Clientes o Usuarios</w:t>
            </w:r>
          </w:p>
        </w:tc>
      </w:tr>
      <w:tr w:rsidR="0096134E" w:rsidRPr="0096134E" w:rsidTr="00E144B0">
        <w:trPr>
          <w:trHeight w:val="45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Equipos e insumos de oficina.</w:t>
            </w:r>
          </w:p>
          <w:p w:rsidR="00CB1705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Plan de acción vigente.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Ejecutar plan de acción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Plan de acción ejecutado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F73491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</w:t>
            </w:r>
            <w:r w:rsidR="00BE3D30"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artera</w:t>
            </w:r>
          </w:p>
        </w:tc>
      </w:tr>
      <w:tr w:rsidR="0096134E" w:rsidRPr="0096134E" w:rsidTr="00E144B0">
        <w:trPr>
          <w:trHeight w:val="51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54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 de cómputo, software, insumos de oficina, impresora, internet.</w:t>
            </w:r>
          </w:p>
          <w:p w:rsidR="00CB1705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Informe de recaudo, radicación y cartera.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Programar el flujo de recursos de manera mensual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Programación de ingreso de recursos)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Gerencia, Subgerencia Administrativa y financiera y tesorería</w:t>
            </w:r>
          </w:p>
        </w:tc>
      </w:tr>
      <w:tr w:rsidR="0096134E" w:rsidRPr="0096134E" w:rsidTr="00E144B0">
        <w:trPr>
          <w:trHeight w:val="497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671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cartera, auxiliar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 de cómputo, software, insumos de oficina, impresora, internet.</w:t>
            </w:r>
          </w:p>
          <w:p w:rsidR="00CB1705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Informe de radicación,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seguimiento de la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depuración de cartera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Garantizar el cumplimiento de los términos de radicación y su disposición para el cobro jurídico.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Factura de venta con cumplimiento de requisitos jurídicos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Funcionarios Áreas de facturación, cartera y auditoria</w:t>
            </w:r>
            <w:r w:rsidR="00F7349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Usuarios y Entidades Administradoras de </w:t>
            </w: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Planes de Beneficios</w:t>
            </w:r>
          </w:p>
        </w:tc>
      </w:tr>
      <w:tr w:rsidR="0096134E" w:rsidRPr="0096134E" w:rsidTr="00E144B0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85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cartera, auxiliar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 de cómputo, software, insumos de oficina, impresora, internet.</w:t>
            </w:r>
          </w:p>
          <w:p w:rsidR="00CB1705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Informe de recaudo, Seguimiento de Notas crédito.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Garantizar la identificación y el descargue de los dineros recaudados por prestación de servicios de salud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Estados de cartera actualizados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Funcionarios Áreas de facturación, cartera y auditoria </w:t>
            </w:r>
          </w:p>
          <w:p w:rsidR="00CB1705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Usuarios y Entidades Administradoras de Planes de Beneficios</w:t>
            </w:r>
          </w:p>
        </w:tc>
      </w:tr>
      <w:tr w:rsidR="0096134E" w:rsidRPr="0096134E" w:rsidTr="00E144B0">
        <w:trPr>
          <w:trHeight w:val="449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94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cartera, auxiliar de Cartera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 de cómputo, software, insumos de oficina, impresora, internet.</w:t>
            </w:r>
          </w:p>
          <w:p w:rsidR="00CB1705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Estado de Cartera por edades,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Evidencias de depuración de la cartera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Garantizar la recuperación dentro de los términos de ley de las valores facturados por prestación de servicios de salud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Flujo de recursos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Gerencia, Subgerencia Administrativa y financiera y tesorería</w:t>
            </w:r>
          </w:p>
        </w:tc>
      </w:tr>
      <w:tr w:rsidR="00BE3D30" w:rsidRPr="0096134E" w:rsidTr="00E144B0">
        <w:trPr>
          <w:trHeight w:val="94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Equipos e insumos de oficina, internet.</w:t>
            </w:r>
          </w:p>
          <w:p w:rsidR="00BE3D30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Reportes generados por el software, requerimiento interno y/ o externo.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Elaborar informes y hacer seguimiento a los indicadores con el fin de detectar fallos realizar su retroalimentación y toma de decisiones.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Informes consolidados e indicadores analizados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Entes de control Gerencia</w:t>
            </w:r>
          </w:p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Subgerencia administrativa y financiera</w:t>
            </w:r>
          </w:p>
          <w:p w:rsidR="00BE3D30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Subgerencia de Servicios de salud y demás procesos que lo requieran.</w:t>
            </w:r>
          </w:p>
        </w:tc>
      </w:tr>
      <w:tr w:rsidR="00BE3D30" w:rsidRPr="0096134E" w:rsidTr="00E144B0">
        <w:trPr>
          <w:trHeight w:val="54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Equipos e insumos de oficina, internet.</w:t>
            </w:r>
          </w:p>
          <w:p w:rsidR="00BE3D30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Documentos y registros del proceso vigentes.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Socializar  procesos, procedimientos, manuales y demás documentos que requiera el proceso.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Listados y/ o actas de socialización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D30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Clientes internos: Área</w:t>
            </w: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cartera </w:t>
            </w:r>
          </w:p>
        </w:tc>
      </w:tr>
      <w:tr w:rsidR="0096134E" w:rsidRPr="0096134E" w:rsidTr="003F422B">
        <w:trPr>
          <w:trHeight w:val="226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5.3 VERIFICAR</w:t>
            </w:r>
          </w:p>
        </w:tc>
      </w:tr>
      <w:tr w:rsidR="0096134E" w:rsidRPr="0096134E" w:rsidTr="00F7349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Clientes o Usuarios</w:t>
            </w:r>
          </w:p>
        </w:tc>
      </w:tr>
      <w:tr w:rsidR="0096134E" w:rsidRPr="0096134E" w:rsidTr="00E144B0">
        <w:trPr>
          <w:trHeight w:val="63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cartera, auxiliar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Equipos e insumos de oficina, software.</w:t>
            </w:r>
          </w:p>
          <w:p w:rsidR="00CB1705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Reportes generados por el sistema.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BE3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Realizar seguimiento a las facturas sin radicar.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Radicación oportuna de facturas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F73491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F</w:t>
            </w:r>
            <w:r w:rsidR="00BE3D30"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acturación, </w:t>
            </w:r>
            <w:r w:rsid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cartera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="00BE3D30"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Entidades Administradoras de Planes de Beneficios</w:t>
            </w:r>
          </w:p>
        </w:tc>
      </w:tr>
      <w:tr w:rsidR="0096134E" w:rsidRPr="0096134E" w:rsidTr="00E144B0">
        <w:trPr>
          <w:trHeight w:val="28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45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F73491" w:rsidRDefault="00BE3D30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cartera, auxiliar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BE3D30" w:rsidP="0015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Equipos e insumos de oficina, software, informe de recaudo, </w:t>
            </w:r>
            <w:r w:rsid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evidencias de depuración de cartera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Realizar seguimiento al vencimiento de las facturas y a los tiempos de rotación en cartera.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Cartera por edades, programación de pagos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F7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Gerencia, Subgerencia Administrativa y financiera facturación, cartera y auditoria</w:t>
            </w:r>
          </w:p>
        </w:tc>
      </w:tr>
      <w:tr w:rsidR="0096134E" w:rsidRPr="0096134E" w:rsidTr="004A4103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4A4103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51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4A4103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30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cartera, auxiliar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BE3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Equipos e insumos de oficina, software, informe de recaudo,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evidencias de depuración de cartera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Realizar seguimiento a los tiempos, términos  y  legalidad en la radicación de  facturas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Informe de radicación, factura cobrable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4A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Gerencia, Subgeren</w:t>
            </w:r>
            <w:r w:rsidR="004A41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cia Administrativa y financiera, </w:t>
            </w: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facturación, cartera y auditoria</w:t>
            </w:r>
          </w:p>
        </w:tc>
      </w:tr>
      <w:tr w:rsidR="0096134E" w:rsidRPr="0096134E" w:rsidTr="00E144B0">
        <w:trPr>
          <w:trHeight w:val="3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3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2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E144B0">
        <w:trPr>
          <w:trHeight w:val="5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09" w:rsidRPr="00155909" w:rsidRDefault="00155909" w:rsidP="0015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Equipos e insumos de oficina, internet.</w:t>
            </w:r>
          </w:p>
          <w:p w:rsidR="00CB1705" w:rsidRPr="0096134E" w:rsidRDefault="00155909" w:rsidP="0015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Formato de evaluación de adherencia a documentos.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0E4" w:rsidRPr="0096134E" w:rsidRDefault="00155909" w:rsidP="004A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Evaluar adherencia a  procesos, procedimientos, manuales y demás documentos que requiera el proceso.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Evaluación de adherencia a documentos del proceso.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4A4103" w:rsidP="0015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</w:t>
            </w:r>
            <w:r w:rsidR="00155909"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artera </w:t>
            </w:r>
          </w:p>
        </w:tc>
      </w:tr>
      <w:tr w:rsidR="0096134E" w:rsidRPr="0096134E" w:rsidTr="003F422B">
        <w:trPr>
          <w:trHeight w:val="21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5.4 ACTUAR</w:t>
            </w:r>
          </w:p>
        </w:tc>
      </w:tr>
      <w:tr w:rsidR="0096134E" w:rsidRPr="0096134E" w:rsidTr="004A4103">
        <w:trPr>
          <w:trHeight w:val="10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Clientes o Usuarios</w:t>
            </w:r>
          </w:p>
        </w:tc>
      </w:tr>
      <w:tr w:rsidR="0096134E" w:rsidRPr="0096134E" w:rsidTr="00E144B0">
        <w:trPr>
          <w:trHeight w:val="76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E144B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15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Estado de cartera, informe de radicación y recaudo,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evidencias de depuración</w:t>
            </w: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, equipo de cómputo, software, insumos de oficina, impresora, internet.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Acceder a los mecanismos de conciliación que ofrece el estado  (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CIRCULAR 030, </w:t>
            </w: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SUPERSALUD Y PROCURADURIA) con el fin de garantizar la recuperación de la cartera.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Actas de conciliación y acuerdos de pago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Entidades Administradoras de Planes de Beneficios</w:t>
            </w:r>
          </w:p>
        </w:tc>
      </w:tr>
      <w:tr w:rsidR="0096134E" w:rsidRPr="0096134E" w:rsidTr="00E144B0">
        <w:trPr>
          <w:trHeight w:val="549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96134E" w:rsidRPr="0096134E" w:rsidTr="004A4103">
        <w:trPr>
          <w:trHeight w:val="68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E144B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Estado de cartera, informe de radicación y recaudo, base de trazabilidad del título valor, equipo de cómputo, software, </w:t>
            </w: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insumos de oficina, impresora,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4A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Notificar y postular las entidades y facturas a las que se les generará</w:t>
            </w: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la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acción jurídica, especialmente aquellas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que evidencian</w:t>
            </w: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un alto grado de irrecuperabilidad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Actas de conciliación y acuerdos de pago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Entidades Administradoras de Planes de Beneficios</w:t>
            </w:r>
          </w:p>
        </w:tc>
      </w:tr>
      <w:tr w:rsidR="00155909" w:rsidRPr="0096134E" w:rsidTr="00E144B0">
        <w:trPr>
          <w:trHeight w:val="96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5909" w:rsidRPr="0096134E" w:rsidRDefault="00E144B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5909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5909" w:rsidRPr="00155909" w:rsidRDefault="00155909" w:rsidP="0015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Equipos e insumos de oficina.</w:t>
            </w:r>
          </w:p>
          <w:p w:rsidR="00155909" w:rsidRPr="0096134E" w:rsidRDefault="00155909" w:rsidP="0015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Formato Plan de mejoramiento y seguimiento.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5909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Establecer acciones preventivas y correctivas del proceso.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5909" w:rsidRPr="0096134E" w:rsidRDefault="0015590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Plan de mejoramiento y seguimiento.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5909" w:rsidRPr="0096134E" w:rsidRDefault="00155909" w:rsidP="0015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Clientes internos: Área</w:t>
            </w:r>
            <w:r w:rsidRPr="001559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de cartera </w:t>
            </w:r>
          </w:p>
        </w:tc>
      </w:tr>
      <w:tr w:rsidR="0096134E" w:rsidRPr="0096134E" w:rsidTr="003F422B">
        <w:trPr>
          <w:trHeight w:val="259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6. INDICADOR (ES)</w:t>
            </w:r>
          </w:p>
        </w:tc>
      </w:tr>
      <w:tr w:rsidR="001145CD" w:rsidRPr="0096134E" w:rsidTr="001145CD">
        <w:trPr>
          <w:trHeight w:val="23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5CD" w:rsidRPr="0096134E" w:rsidRDefault="001145CD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Ver tablero de indicadores </w:t>
            </w:r>
          </w:p>
        </w:tc>
      </w:tr>
      <w:tr w:rsidR="0096134E" w:rsidRPr="0096134E" w:rsidTr="003F422B">
        <w:trPr>
          <w:trHeight w:val="21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7. RIESGO (S)</w:t>
            </w:r>
          </w:p>
        </w:tc>
      </w:tr>
      <w:tr w:rsidR="0096134E" w:rsidRPr="0096134E" w:rsidTr="008351E0">
        <w:trPr>
          <w:trHeight w:val="289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145CD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Ver matriz de riesgo</w:t>
            </w:r>
          </w:p>
        </w:tc>
      </w:tr>
      <w:tr w:rsidR="0096134E" w:rsidRPr="0096134E" w:rsidTr="00057545">
        <w:trPr>
          <w:trHeight w:val="11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9C619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8. REQUISITOS LEGALES</w:t>
            </w:r>
          </w:p>
        </w:tc>
      </w:tr>
      <w:tr w:rsidR="00592B2D" w:rsidRPr="0096134E" w:rsidTr="00592B2D">
        <w:trPr>
          <w:trHeight w:val="307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92B2D" w:rsidRPr="00670E3C" w:rsidRDefault="00592B2D" w:rsidP="00592B2D">
            <w:pPr>
              <w:spacing w:after="0"/>
            </w:pPr>
            <w:r>
              <w:t>Ver normograma</w:t>
            </w:r>
          </w:p>
        </w:tc>
      </w:tr>
      <w:tr w:rsidR="0096134E" w:rsidRPr="0096134E" w:rsidTr="003F422B">
        <w:trPr>
          <w:trHeight w:val="121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9. PROCEDIMIENTOS/LINEAMIENTOS/GUIAS/INSTRUCTIVOS/REGISTROS/ETC.</w:t>
            </w:r>
          </w:p>
        </w:tc>
      </w:tr>
      <w:tr w:rsidR="00592B2D" w:rsidRPr="0096134E" w:rsidTr="00AF2D11">
        <w:trPr>
          <w:trHeight w:val="198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B2D" w:rsidRPr="0096134E" w:rsidRDefault="00592B2D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Ver listado maestro de documentos</w:t>
            </w:r>
          </w:p>
        </w:tc>
      </w:tr>
      <w:tr w:rsidR="0096134E" w:rsidRPr="0096134E" w:rsidTr="003F422B">
        <w:trPr>
          <w:trHeight w:val="17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10. CONTROL DE CAMBIOS DEL PROCESO</w:t>
            </w:r>
          </w:p>
        </w:tc>
      </w:tr>
      <w:tr w:rsidR="0096134E" w:rsidRPr="0096134E" w:rsidTr="00D343F1">
        <w:trPr>
          <w:trHeight w:val="218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VERSION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FECHA DE ACTUALIZACION</w:t>
            </w:r>
          </w:p>
        </w:tc>
        <w:tc>
          <w:tcPr>
            <w:tcW w:w="80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DESCRIPCION DEL CAMBIO</w:t>
            </w:r>
          </w:p>
        </w:tc>
      </w:tr>
      <w:tr w:rsidR="0096134E" w:rsidRPr="0096134E" w:rsidTr="00E144B0">
        <w:trPr>
          <w:trHeight w:val="250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592B2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1.0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592B2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30/07/2013</w:t>
            </w:r>
          </w:p>
        </w:tc>
        <w:tc>
          <w:tcPr>
            <w:tcW w:w="80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037531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Se</w:t>
            </w:r>
            <w:r w:rsidR="00592B2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crea el documento en donde se integraban facturación, cratera y auditoria concurrente</w:t>
            </w:r>
          </w:p>
        </w:tc>
      </w:tr>
      <w:tr w:rsidR="0096134E" w:rsidRPr="0096134E" w:rsidTr="00E144B0">
        <w:trPr>
          <w:trHeight w:val="268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592B2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2.0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E53DB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05</w:t>
            </w:r>
            <w:r w:rsidR="00592B2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/1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</w:t>
            </w:r>
            <w:r w:rsidR="00592B2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/201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8</w:t>
            </w:r>
            <w:bookmarkStart w:id="0" w:name="_GoBack"/>
            <w:bookmarkEnd w:id="0"/>
          </w:p>
        </w:tc>
        <w:tc>
          <w:tcPr>
            <w:tcW w:w="80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592B2D" w:rsidP="00D343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Se actualiza el documento </w:t>
            </w:r>
            <w:r w:rsidR="00D343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separándolo de la caracterización del proceso anterior, ya que se  toma la decisión de crear la caracterización del proceso para cada uno de los procesos de facturación, cartera y auditoria concurrente </w:t>
            </w:r>
          </w:p>
        </w:tc>
      </w:tr>
      <w:tr w:rsidR="0096134E" w:rsidRPr="0096134E" w:rsidTr="00E144B0">
        <w:trPr>
          <w:trHeight w:val="116"/>
        </w:trPr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ELABORO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REVISO</w:t>
            </w:r>
          </w:p>
        </w:tc>
        <w:tc>
          <w:tcPr>
            <w:tcW w:w="4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APROBO</w:t>
            </w:r>
          </w:p>
        </w:tc>
      </w:tr>
      <w:tr w:rsidR="003F422B" w:rsidRPr="0096134E" w:rsidTr="00E144B0">
        <w:trPr>
          <w:trHeight w:val="116"/>
        </w:trPr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422B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592B2D" w:rsidRDefault="00592B2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592B2D" w:rsidRDefault="00592B2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592B2D" w:rsidRDefault="00592B2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592B2D" w:rsidRPr="0096134E" w:rsidRDefault="00592B2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3F422B" w:rsidRPr="0096134E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4B0A7E" w:rsidRDefault="00592B2D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OSCAR RODRIGUEZ</w:t>
            </w:r>
          </w:p>
          <w:p w:rsidR="003F422B" w:rsidRPr="0096134E" w:rsidRDefault="00592B2D" w:rsidP="0059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592B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Técnico administrativo de cartera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592B2D" w:rsidRDefault="00592B2D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592B2D" w:rsidRDefault="00592B2D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592B2D" w:rsidRPr="0096134E" w:rsidRDefault="00592B2D" w:rsidP="00592B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3F422B" w:rsidRPr="0096134E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3F422B" w:rsidRPr="00592B2D" w:rsidRDefault="00592B2D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592B2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DORA J. CUADRADO O.</w:t>
            </w:r>
          </w:p>
          <w:p w:rsidR="00592B2D" w:rsidRPr="0096134E" w:rsidRDefault="00592B2D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Subgerente Administrativa y Financiera</w:t>
            </w:r>
          </w:p>
        </w:tc>
        <w:tc>
          <w:tcPr>
            <w:tcW w:w="4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422B" w:rsidRPr="0096134E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3F422B" w:rsidRPr="0096134E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3F422B" w:rsidRPr="0096134E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592B2D" w:rsidRPr="0096134E" w:rsidRDefault="00592B2D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8351E0" w:rsidRPr="0096134E" w:rsidRDefault="008351E0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8351E0" w:rsidRPr="00592B2D" w:rsidRDefault="00592B2D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592B2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CESAR A. JARAMILLO M.</w:t>
            </w:r>
          </w:p>
          <w:p w:rsidR="008351E0" w:rsidRPr="0096134E" w:rsidRDefault="00592B2D" w:rsidP="00592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Gerente</w:t>
            </w:r>
          </w:p>
        </w:tc>
      </w:tr>
    </w:tbl>
    <w:p w:rsidR="003F422B" w:rsidRPr="0096134E" w:rsidRDefault="003F422B" w:rsidP="004B0A7E">
      <w:pPr>
        <w:tabs>
          <w:tab w:val="left" w:pos="2535"/>
        </w:tabs>
        <w:rPr>
          <w:color w:val="000000" w:themeColor="text1"/>
        </w:rPr>
      </w:pPr>
    </w:p>
    <w:sectPr w:rsidR="003F422B" w:rsidRPr="0096134E" w:rsidSect="0096134E">
      <w:headerReference w:type="default" r:id="rId8"/>
      <w:footerReference w:type="default" r:id="rId9"/>
      <w:pgSz w:w="15840" w:h="12240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9B" w:rsidRDefault="006A259B" w:rsidP="00CB1705">
      <w:pPr>
        <w:spacing w:after="0" w:line="240" w:lineRule="auto"/>
      </w:pPr>
      <w:r>
        <w:separator/>
      </w:r>
    </w:p>
  </w:endnote>
  <w:endnote w:type="continuationSeparator" w:id="0">
    <w:p w:rsidR="006A259B" w:rsidRDefault="006A259B" w:rsidP="00CB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718" w:rsidRPr="0096134E" w:rsidRDefault="00625718" w:rsidP="0096134E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96134E">
      <w:rPr>
        <w:noProof/>
        <w:color w:val="000000" w:themeColor="text1"/>
        <w:lang w:eastAsia="es-CO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720014B" wp14:editId="51DE7A14">
              <wp:simplePos x="0" y="0"/>
              <wp:positionH relativeFrom="column">
                <wp:posOffset>62230</wp:posOffset>
              </wp:positionH>
              <wp:positionV relativeFrom="paragraph">
                <wp:posOffset>-66675</wp:posOffset>
              </wp:positionV>
              <wp:extent cx="8208000" cy="0"/>
              <wp:effectExtent l="0" t="0" r="2222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0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A2A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4.9pt;margin-top:-5.25pt;width:646.3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JdJwIAAEsEAAAOAAAAZHJzL2Uyb0RvYy54bWysVMGO2yAQvVfqPyDuie3UmyZWnFVlJ71s&#10;u5F2+wEEsI2KAQGJE1X99w44SZv2UlX1AYOZebw38/Dq8dRLdOTWCa1KnE1TjLiimgnVlvjL63ay&#10;wMh5ohiRWvESn7nDj+u3b1aDKfhMd1oybhGAKFcMpsSd96ZIEkc73hM31YYr2Gy07YmHpW0TZskA&#10;6L1MZmk6TwZtmbGacufgaz1u4nXEbxpO/XPTOO6RLDFw83G0cdyHMVmvSNFaYjpBLzTIP7DoiVBw&#10;6A2qJp6ggxV/QPWCWu1046dU94luGkF51ABqsvQ3NS8dMTxqgeI4cyuT+3+w9PNxZ5Fg0DuMFOmh&#10;RRU0inptkQ0vxDhqJKcdQVmo1mBcAUmV2tmgl57Ui3nS9KtDSlcdUS2PrF/PBqBiRnKXEhbOwJn7&#10;4ZNmEEMOXsfSnRrbB0goCjrFDp1vHeInjyh8XMzSRZpCI+l1LyHFNdFY5z9y3aMwKbHzloi286Bn&#10;FJTFY8jxyXkQAonXhHCq0lshZbSDVGgA7sv0IY0ZTkvBwm6Ic7bdV9KiIwmOik8oC6DdhVl9UCyi&#10;dZywzWXuiZDjHOKlCnigDPhcZqNlvi3T5WaxWeSTfDbfTPK0ricftlU+mW+z9w/1u7qq6ux7oJbl&#10;RScY4yqwu9o3y//OHpeLNBrvZuBbHZJ79CgRyF7fkXRsbejm6Iu9ZuedDdUIXQbHxuDL7QpX4td1&#10;jPr5D1j/AAAA//8DAFBLAwQUAAYACAAAACEAOKiNEdsAAAAKAQAADwAAAGRycy9kb3ducmV2Lnht&#10;bEyPwU7DMBBE70j8g7VIXFBrt0AVQpwKIXHiQFr4gE28JBHxOoqdxvw9roQEx50Zzbwt9tEO4kST&#10;7x1r2KwVCOLGmZ5bDR/vL6sMhA/IBgfHpOGbPOzLy4sCc+MWPtDpGFqRStjnqKELYcyl9E1HFv3a&#10;jcTJ+3STxZDOqZVmwiWV20FuldpJiz2nhQ5Heu6o+TrOVkN823GIVRbrhedXn91UEW2l9fVVfHoE&#10;ESiGvzCc8RM6lImpdjMbLwYNDwk8aFht1D2Is3+rtncg6l9JloX8/0L5AwAA//8DAFBLAQItABQA&#10;BgAIAAAAIQC2gziS/gAAAOEBAAATAAAAAAAAAAAAAAAAAAAAAABbQ29udGVudF9UeXBlc10ueG1s&#10;UEsBAi0AFAAGAAgAAAAhADj9If/WAAAAlAEAAAsAAAAAAAAAAAAAAAAALwEAAF9yZWxzLy5yZWxz&#10;UEsBAi0AFAAGAAgAAAAhAPYhAl0nAgAASwQAAA4AAAAAAAAAAAAAAAAALgIAAGRycy9lMm9Eb2Mu&#10;eG1sUEsBAi0AFAAGAAgAAAAhADiojRHbAAAACgEAAA8AAAAAAAAAAAAAAAAAgQQAAGRycy9kb3du&#10;cmV2LnhtbFBLBQYAAAAABAAEAPMAAACJBQAAAAA=&#10;" strokeweight="1.5pt"/>
          </w:pict>
        </mc:Fallback>
      </mc:AlternateContent>
    </w:r>
    <w:r w:rsidRPr="0096134E">
      <w:rPr>
        <w:rFonts w:ascii="Arial" w:hAnsi="Arial" w:cs="Arial"/>
        <w:b/>
        <w:i/>
        <w:color w:val="000000" w:themeColor="text1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9B" w:rsidRDefault="006A259B" w:rsidP="00CB1705">
      <w:pPr>
        <w:spacing w:after="0" w:line="240" w:lineRule="auto"/>
      </w:pPr>
      <w:r>
        <w:separator/>
      </w:r>
    </w:p>
  </w:footnote>
  <w:footnote w:type="continuationSeparator" w:id="0">
    <w:p w:rsidR="006A259B" w:rsidRDefault="006A259B" w:rsidP="00CB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10" w:type="pct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6"/>
      <w:gridCol w:w="7441"/>
      <w:gridCol w:w="2904"/>
    </w:tblGrid>
    <w:tr w:rsidR="00625718" w:rsidRPr="00D23064" w:rsidTr="0096134E">
      <w:trPr>
        <w:trHeight w:val="274"/>
      </w:trPr>
      <w:tc>
        <w:tcPr>
          <w:tcW w:w="697" w:type="pct"/>
          <w:vMerge w:val="restart"/>
          <w:shd w:val="clear" w:color="auto" w:fill="auto"/>
          <w:vAlign w:val="center"/>
        </w:tcPr>
        <w:p w:rsidR="00625718" w:rsidRPr="00F00474" w:rsidRDefault="00625718" w:rsidP="00CB1705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76BFBA32" wp14:editId="345707E7">
                <wp:extent cx="1035337" cy="790575"/>
                <wp:effectExtent l="0" t="0" r="0" b="0"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022" cy="79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625718" w:rsidRPr="0096134E" w:rsidRDefault="00D70B10" w:rsidP="00CB1705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36"/>
              <w:szCs w:val="20"/>
            </w:rPr>
            <w:t>CARTERA</w:t>
          </w:r>
          <w:r w:rsidR="00625718" w:rsidRPr="0096134E">
            <w:rPr>
              <w:rFonts w:ascii="Arial" w:hAnsi="Arial" w:cs="Arial"/>
              <w:b/>
              <w:color w:val="000000" w:themeColor="text1"/>
              <w:sz w:val="36"/>
              <w:szCs w:val="20"/>
            </w:rPr>
            <w:t xml:space="preserve"> </w:t>
          </w:r>
        </w:p>
      </w:tc>
      <w:tc>
        <w:tcPr>
          <w:tcW w:w="1221" w:type="pct"/>
          <w:shd w:val="clear" w:color="auto" w:fill="auto"/>
          <w:vAlign w:val="center"/>
        </w:tcPr>
        <w:p w:rsidR="00625718" w:rsidRPr="0096134E" w:rsidRDefault="00625718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Código: </w:t>
          </w:r>
          <w:r w:rsidR="00D70B10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A-CR-CA-01</w:t>
          </w:r>
        </w:p>
      </w:tc>
    </w:tr>
    <w:tr w:rsidR="00625718" w:rsidRPr="00D23064" w:rsidTr="0096134E">
      <w:trPr>
        <w:trHeight w:val="414"/>
      </w:trPr>
      <w:tc>
        <w:tcPr>
          <w:tcW w:w="697" w:type="pct"/>
          <w:vMerge/>
          <w:shd w:val="clear" w:color="auto" w:fill="auto"/>
        </w:tcPr>
        <w:p w:rsidR="00625718" w:rsidRPr="00D23064" w:rsidRDefault="00625718" w:rsidP="00625718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625718" w:rsidRPr="0096134E" w:rsidRDefault="00625718" w:rsidP="00CB1705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p w:rsidR="00625718" w:rsidRPr="0096134E" w:rsidRDefault="00625718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Versión:</w:t>
          </w:r>
          <w:r w:rsidR="00D70B10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2.0</w:t>
          </w:r>
        </w:p>
      </w:tc>
    </w:tr>
    <w:tr w:rsidR="00625718" w:rsidRPr="00D23064" w:rsidTr="0096134E">
      <w:trPr>
        <w:trHeight w:val="378"/>
      </w:trPr>
      <w:tc>
        <w:tcPr>
          <w:tcW w:w="697" w:type="pct"/>
          <w:vMerge/>
          <w:shd w:val="clear" w:color="auto" w:fill="auto"/>
        </w:tcPr>
        <w:p w:rsidR="00625718" w:rsidRPr="00D23064" w:rsidRDefault="00625718" w:rsidP="00625718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625718" w:rsidRPr="0096134E" w:rsidRDefault="00625718" w:rsidP="00FE4906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8"/>
              <w:szCs w:val="20"/>
            </w:rPr>
            <w:t>CARACTERIZACION DEL PROCESO</w:t>
          </w:r>
        </w:p>
      </w:tc>
      <w:tc>
        <w:tcPr>
          <w:tcW w:w="1221" w:type="pct"/>
          <w:shd w:val="clear" w:color="auto" w:fill="auto"/>
          <w:vAlign w:val="center"/>
        </w:tcPr>
        <w:p w:rsidR="00625718" w:rsidRPr="0096134E" w:rsidRDefault="00625718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Fecha de aprobación: </w:t>
          </w:r>
        </w:p>
        <w:p w:rsidR="00625718" w:rsidRPr="0096134E" w:rsidRDefault="00E53DB9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05</w:t>
          </w:r>
          <w:r w:rsidR="00D70B10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/1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2</w:t>
          </w:r>
          <w:r w:rsidR="00D70B10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/201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8</w:t>
          </w:r>
        </w:p>
      </w:tc>
    </w:tr>
    <w:tr w:rsidR="00625718" w:rsidRPr="009D1273" w:rsidTr="0096134E">
      <w:trPr>
        <w:trHeight w:val="227"/>
      </w:trPr>
      <w:tc>
        <w:tcPr>
          <w:tcW w:w="697" w:type="pct"/>
          <w:vMerge/>
          <w:shd w:val="clear" w:color="auto" w:fill="auto"/>
        </w:tcPr>
        <w:p w:rsidR="00625718" w:rsidRPr="009D1273" w:rsidRDefault="00625718" w:rsidP="00625718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625718" w:rsidRPr="0096134E" w:rsidRDefault="00625718" w:rsidP="00625718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sdt>
          <w:sdtPr>
            <w:rPr>
              <w:b/>
              <w:color w:val="000000" w:themeColor="text1"/>
              <w:sz w:val="20"/>
              <w:szCs w:val="20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625718" w:rsidRPr="0096134E" w:rsidRDefault="00625718" w:rsidP="0096134E">
              <w:pPr>
                <w:pStyle w:val="Encabezado"/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</w:pP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Página:  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PAGE</w:instrTex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037531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5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de 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NUMPAGES</w:instrTex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037531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5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625718" w:rsidRDefault="006257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05"/>
    <w:rsid w:val="00037531"/>
    <w:rsid w:val="00057545"/>
    <w:rsid w:val="00073623"/>
    <w:rsid w:val="000A7E4D"/>
    <w:rsid w:val="000C6F6B"/>
    <w:rsid w:val="001145CD"/>
    <w:rsid w:val="00155909"/>
    <w:rsid w:val="001F2AEB"/>
    <w:rsid w:val="0020206E"/>
    <w:rsid w:val="00235384"/>
    <w:rsid w:val="00324BF9"/>
    <w:rsid w:val="003F349F"/>
    <w:rsid w:val="003F422B"/>
    <w:rsid w:val="0041446C"/>
    <w:rsid w:val="004350E1"/>
    <w:rsid w:val="004536F5"/>
    <w:rsid w:val="004A4103"/>
    <w:rsid w:val="004B0A7E"/>
    <w:rsid w:val="00592B2D"/>
    <w:rsid w:val="005F4C7A"/>
    <w:rsid w:val="00625718"/>
    <w:rsid w:val="006A259B"/>
    <w:rsid w:val="006C115C"/>
    <w:rsid w:val="006D63A2"/>
    <w:rsid w:val="007C5E58"/>
    <w:rsid w:val="008351E0"/>
    <w:rsid w:val="008501ED"/>
    <w:rsid w:val="008A467C"/>
    <w:rsid w:val="00907214"/>
    <w:rsid w:val="00951E2C"/>
    <w:rsid w:val="0096134E"/>
    <w:rsid w:val="009C619E"/>
    <w:rsid w:val="00A12CDB"/>
    <w:rsid w:val="00AA00E4"/>
    <w:rsid w:val="00AA619E"/>
    <w:rsid w:val="00AB7C77"/>
    <w:rsid w:val="00B21C8E"/>
    <w:rsid w:val="00BE3D30"/>
    <w:rsid w:val="00C24D55"/>
    <w:rsid w:val="00C8169B"/>
    <w:rsid w:val="00CB1705"/>
    <w:rsid w:val="00CD1146"/>
    <w:rsid w:val="00D343F1"/>
    <w:rsid w:val="00D70B10"/>
    <w:rsid w:val="00DC7EBF"/>
    <w:rsid w:val="00DD585B"/>
    <w:rsid w:val="00E05D89"/>
    <w:rsid w:val="00E144B0"/>
    <w:rsid w:val="00E32F9F"/>
    <w:rsid w:val="00E53DB9"/>
    <w:rsid w:val="00F56F8E"/>
    <w:rsid w:val="00F73491"/>
    <w:rsid w:val="00F92C98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05"/>
  </w:style>
  <w:style w:type="paragraph" w:styleId="Piedepgina">
    <w:name w:val="footer"/>
    <w:basedOn w:val="Normal"/>
    <w:link w:val="Piedepgina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05"/>
  </w:style>
  <w:style w:type="paragraph" w:styleId="Textodeglobo">
    <w:name w:val="Balloon Text"/>
    <w:basedOn w:val="Normal"/>
    <w:link w:val="TextodegloboCar"/>
    <w:uiPriority w:val="99"/>
    <w:semiHidden/>
    <w:unhideWhenUsed/>
    <w:rsid w:val="00F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05"/>
  </w:style>
  <w:style w:type="paragraph" w:styleId="Piedepgina">
    <w:name w:val="footer"/>
    <w:basedOn w:val="Normal"/>
    <w:link w:val="Piedepgina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05"/>
  </w:style>
  <w:style w:type="paragraph" w:styleId="Textodeglobo">
    <w:name w:val="Balloon Text"/>
    <w:basedOn w:val="Normal"/>
    <w:link w:val="TextodegloboCar"/>
    <w:uiPriority w:val="99"/>
    <w:semiHidden/>
    <w:unhideWhenUsed/>
    <w:rsid w:val="00F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83C9-7ACA-4730-A196-27263E28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1254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5</cp:revision>
  <cp:lastPrinted>2018-01-22T14:44:00Z</cp:lastPrinted>
  <dcterms:created xsi:type="dcterms:W3CDTF">2019-02-08T22:07:00Z</dcterms:created>
  <dcterms:modified xsi:type="dcterms:W3CDTF">2019-05-29T22:45:00Z</dcterms:modified>
</cp:coreProperties>
</file>